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C1" w:rsidRDefault="00C115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Layout w:type="fixed"/>
        <w:tblLook w:val="0400" w:firstRow="0" w:lastRow="0" w:firstColumn="0" w:lastColumn="0" w:noHBand="0" w:noVBand="1"/>
      </w:tblPr>
      <w:tblGrid>
        <w:gridCol w:w="3602"/>
        <w:gridCol w:w="6037"/>
      </w:tblGrid>
      <w:tr w:rsidR="00C115C1">
        <w:tc>
          <w:tcPr>
            <w:tcW w:w="3602" w:type="dxa"/>
            <w:shd w:val="clear" w:color="auto" w:fill="auto"/>
          </w:tcPr>
          <w:p w:rsidR="00C115C1" w:rsidRDefault="000C63FF">
            <w:pPr>
              <w:pStyle w:val="Heading1"/>
              <w:jc w:val="left"/>
              <w:rPr>
                <w:rFonts w:ascii="SVN-Gilroy" w:eastAsia="SVN-Gilroy" w:hAnsi="SVN-Gilroy" w:cs="SVN-Gilroy"/>
                <w:color w:val="22B34F"/>
                <w:sz w:val="24"/>
              </w:rPr>
            </w:pPr>
            <w:r>
              <w:rPr>
                <w:rFonts w:ascii="SVN-Gilroy" w:eastAsia="SVN-Gilroy" w:hAnsi="SVN-Gilroy" w:cs="SVN-Gilroy"/>
                <w:noProof/>
                <w:sz w:val="24"/>
                <w:lang w:val="en-US" w:eastAsia="en-US"/>
              </w:rPr>
              <w:drawing>
                <wp:inline distT="0" distB="0" distL="0" distR="0">
                  <wp:extent cx="1584960" cy="4572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7" w:type="dxa"/>
            <w:shd w:val="clear" w:color="auto" w:fill="auto"/>
          </w:tcPr>
          <w:p w:rsidR="00C115C1" w:rsidRDefault="000C63FF" w:rsidP="00D44EA0">
            <w:pPr>
              <w:pStyle w:val="Heading1"/>
              <w:spacing w:line="228" w:lineRule="auto"/>
              <w:jc w:val="right"/>
              <w:rPr>
                <w:rFonts w:ascii="SVN-Gilroy" w:eastAsia="SVN-Gilroy" w:hAnsi="SVN-Gilroy" w:cs="SVN-Gilroy"/>
                <w:i/>
                <w:sz w:val="22"/>
                <w:szCs w:val="22"/>
              </w:rPr>
            </w:pPr>
            <w:proofErr w:type="spellStart"/>
            <w:r>
              <w:rPr>
                <w:rFonts w:ascii="SVN-Gilroy" w:eastAsia="SVN-Gilroy" w:hAnsi="SVN-Gilroy" w:cs="SVN-Gilroy"/>
                <w:sz w:val="22"/>
                <w:szCs w:val="22"/>
              </w:rPr>
              <w:t>Hội</w:t>
            </w:r>
            <w:proofErr w:type="spellEnd"/>
            <w:r>
              <w:rPr>
                <w:rFonts w:ascii="SVN-Gilroy" w:eastAsia="SVN-Gilroy" w:hAnsi="SVN-Gilroy" w:cs="SVN-Gilroy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sz w:val="22"/>
                <w:szCs w:val="22"/>
              </w:rPr>
              <w:t>Sở</w:t>
            </w:r>
            <w:proofErr w:type="spellEnd"/>
            <w:r>
              <w:rPr>
                <w:rFonts w:ascii="SVN-Gilroy" w:eastAsia="SVN-Gilroy" w:hAnsi="SVN-Gilroy" w:cs="SVN-Gilroy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sz w:val="22"/>
                <w:szCs w:val="22"/>
              </w:rPr>
              <w:t>chính</w:t>
            </w:r>
            <w:proofErr w:type="spellEnd"/>
            <w:r>
              <w:rPr>
                <w:rFonts w:ascii="SVN-Gilroy" w:eastAsia="SVN-Gilroy" w:hAnsi="SVN-Gilroy" w:cs="SVN-Gilroy"/>
                <w:sz w:val="22"/>
                <w:szCs w:val="22"/>
              </w:rPr>
              <w:t xml:space="preserve">/ </w:t>
            </w:r>
            <w:r>
              <w:rPr>
                <w:rFonts w:ascii="SVN-Gilroy" w:eastAsia="SVN-Gilroy" w:hAnsi="SVN-Gilroy" w:cs="SVN-Gilroy"/>
                <w:i/>
                <w:sz w:val="22"/>
                <w:szCs w:val="22"/>
              </w:rPr>
              <w:t>Headquarters</w:t>
            </w:r>
          </w:p>
          <w:p w:rsidR="00C115C1" w:rsidRDefault="000C63FF" w:rsidP="00D44EA0">
            <w:pPr>
              <w:pStyle w:val="Heading1"/>
              <w:spacing w:line="228" w:lineRule="auto"/>
              <w:jc w:val="right"/>
              <w:rPr>
                <w:rFonts w:ascii="SVN-Gilroy" w:eastAsia="SVN-Gilroy" w:hAnsi="SVN-Gilroy" w:cs="SVN-Gilroy"/>
                <w:b w:val="0"/>
                <w:i/>
                <w:sz w:val="22"/>
                <w:szCs w:val="22"/>
              </w:rPr>
            </w:pPr>
            <w:proofErr w:type="spellStart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 89 </w:t>
            </w:r>
            <w:proofErr w:type="spellStart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Láng</w:t>
            </w:r>
            <w:proofErr w:type="spellEnd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Hạ</w:t>
            </w:r>
            <w:proofErr w:type="spellEnd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Đống</w:t>
            </w:r>
            <w:proofErr w:type="spellEnd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Đa</w:t>
            </w:r>
            <w:proofErr w:type="spellEnd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Hà</w:t>
            </w:r>
            <w:proofErr w:type="spellEnd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Nội</w:t>
            </w:r>
            <w:proofErr w:type="spellEnd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/ </w:t>
            </w:r>
            <w:r>
              <w:rPr>
                <w:rFonts w:ascii="SVN-Gilroy" w:eastAsia="SVN-Gilroy" w:hAnsi="SVN-Gilroy" w:cs="SVN-Gilroy"/>
                <w:b w:val="0"/>
                <w:i/>
                <w:sz w:val="22"/>
                <w:szCs w:val="22"/>
              </w:rPr>
              <w:t xml:space="preserve">89 Lang Ha street, Dong Da district, Ha </w:t>
            </w:r>
            <w:proofErr w:type="spellStart"/>
            <w:r>
              <w:rPr>
                <w:rFonts w:ascii="SVN-Gilroy" w:eastAsia="SVN-Gilroy" w:hAnsi="SVN-Gilroy" w:cs="SVN-Gilroy"/>
                <w:b w:val="0"/>
                <w:i/>
                <w:sz w:val="22"/>
                <w:szCs w:val="22"/>
              </w:rPr>
              <w:t>Noi</w:t>
            </w:r>
            <w:proofErr w:type="spellEnd"/>
          </w:p>
          <w:p w:rsidR="00C115C1" w:rsidRDefault="000C63FF" w:rsidP="00D44EA0">
            <w:pPr>
              <w:pStyle w:val="Heading1"/>
              <w:spacing w:line="228" w:lineRule="auto"/>
              <w:jc w:val="right"/>
              <w:rPr>
                <w:rFonts w:ascii="SVN-Gilroy" w:eastAsia="SVN-Gilroy" w:hAnsi="SVN-Gilroy" w:cs="SVN-Gilroy"/>
                <w:b w:val="0"/>
                <w:sz w:val="22"/>
                <w:szCs w:val="22"/>
              </w:rPr>
            </w:pPr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ĐT/ </w:t>
            </w:r>
            <w:r>
              <w:rPr>
                <w:rFonts w:ascii="SVN-Gilroy" w:eastAsia="SVN-Gilroy" w:hAnsi="SVN-Gilroy" w:cs="SVN-Gilroy"/>
                <w:b w:val="0"/>
                <w:i/>
                <w:sz w:val="22"/>
                <w:szCs w:val="22"/>
              </w:rPr>
              <w:t>Tel</w:t>
            </w:r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: (84.24) 39288869      Fax: (84.24) 39288867</w:t>
            </w:r>
          </w:p>
          <w:p w:rsidR="00C115C1" w:rsidRDefault="000C63FF" w:rsidP="00D44EA0">
            <w:pPr>
              <w:pStyle w:val="Heading1"/>
              <w:spacing w:line="228" w:lineRule="auto"/>
              <w:jc w:val="right"/>
              <w:rPr>
                <w:rFonts w:ascii="SVN-Gilroy" w:eastAsia="SVN-Gilroy" w:hAnsi="SVN-Gilroy" w:cs="SVN-Gilroy"/>
                <w:color w:val="22B34F"/>
                <w:sz w:val="22"/>
                <w:szCs w:val="22"/>
              </w:rPr>
            </w:pPr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 xml:space="preserve">Swift: VPBKVNVX      </w:t>
            </w:r>
            <w:proofErr w:type="spellStart"/>
            <w:r>
              <w:rPr>
                <w:rFonts w:ascii="SVN-Gilroy" w:eastAsia="SVN-Gilroy" w:hAnsi="SVN-Gilroy" w:cs="SVN-Gilroy"/>
                <w:b w:val="0"/>
                <w:sz w:val="22"/>
                <w:szCs w:val="22"/>
              </w:rPr>
              <w:t>Website:www.vpbank.com.vn</w:t>
            </w:r>
            <w:proofErr w:type="spellEnd"/>
          </w:p>
        </w:tc>
      </w:tr>
    </w:tbl>
    <w:p w:rsidR="00C115C1" w:rsidRDefault="00C115C1">
      <w:pPr>
        <w:jc w:val="center"/>
        <w:rPr>
          <w:rFonts w:ascii="SVN-Gilroy" w:eastAsia="SVN-Gilroy" w:hAnsi="SVN-Gilroy" w:cs="SVN-Gilroy"/>
          <w:b/>
          <w:color w:val="22B34F"/>
        </w:rPr>
      </w:pPr>
    </w:p>
    <w:p w:rsidR="00C115C1" w:rsidRDefault="000C63FF">
      <w:pPr>
        <w:jc w:val="center"/>
        <w:rPr>
          <w:rFonts w:ascii="SVN-Gilroy" w:eastAsia="SVN-Gilroy" w:hAnsi="SVN-Gilroy" w:cs="SVN-Gilroy"/>
          <w:b/>
          <w:color w:val="22B34F"/>
        </w:rPr>
      </w:pPr>
      <w:r>
        <w:rPr>
          <w:rFonts w:ascii="SVN-Gilroy" w:eastAsia="SVN-Gilroy" w:hAnsi="SVN-Gilroy" w:cs="SVN-Gilroy"/>
          <w:b/>
          <w:color w:val="22B34F"/>
        </w:rPr>
        <w:t xml:space="preserve">PHỤ LỤC ĐỀ NGHỊ PHONG TỎA/ CHẤM DỨT PHONG TỎA TÀI KHOẢN THANH TOÁN CHUNG, TẠM KHÓA/CHẤM DỨT TẠM KHÓA TÀI KHOẢN THANH TOÁN/ </w:t>
      </w:r>
      <w:r>
        <w:rPr>
          <w:rFonts w:ascii="SVN-Gilroy" w:eastAsia="SVN-Gilroy" w:hAnsi="SVN-Gilroy" w:cs="SVN-Gilroy"/>
          <w:b/>
          <w:i/>
          <w:color w:val="22B34F"/>
        </w:rPr>
        <w:t>ANNEX ON THE REQUEST TO FREEZE/UNFREEZE A JOINT CURRENT ACCOUNT OR LOCK/UNLOCK A CURRENT ACCOUNT</w:t>
      </w:r>
    </w:p>
    <w:p w:rsidR="00C115C1" w:rsidRDefault="000C63FF">
      <w:pPr>
        <w:ind w:left="-284" w:right="-426" w:hanging="283"/>
        <w:jc w:val="center"/>
        <w:rPr>
          <w:rFonts w:ascii="SVN-Gilroy" w:eastAsia="SVN-Gilroy" w:hAnsi="SVN-Gilroy" w:cs="SVN-Gilroy"/>
          <w:i/>
        </w:rPr>
      </w:pPr>
      <w:proofErr w:type="spellStart"/>
      <w:r>
        <w:rPr>
          <w:rFonts w:ascii="SVN-Gilroy" w:eastAsia="SVN-Gilroy" w:hAnsi="SVN-Gilroy" w:cs="SVN-Gilroy"/>
          <w:i/>
        </w:rPr>
        <w:t>Đính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kèm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Giấy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đề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nghị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đăng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ký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dịch</w:t>
      </w:r>
      <w:proofErr w:type="spellEnd"/>
      <w:r>
        <w:rPr>
          <w:rFonts w:ascii="SVN-Gilroy" w:eastAsia="SVN-Gilroy" w:hAnsi="SVN-Gilroy" w:cs="SVN-Gilroy"/>
          <w:i/>
        </w:rPr>
        <w:t xml:space="preserve"> vụ do Khách </w:t>
      </w:r>
      <w:proofErr w:type="spellStart"/>
      <w:r>
        <w:rPr>
          <w:rFonts w:ascii="SVN-Gilroy" w:eastAsia="SVN-Gilroy" w:hAnsi="SVN-Gilroy" w:cs="SVN-Gilroy"/>
          <w:i/>
        </w:rPr>
        <w:t>hàng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ký</w:t>
      </w:r>
      <w:proofErr w:type="spellEnd"/>
      <w:r>
        <w:rPr>
          <w:rFonts w:ascii="SVN-Gilroy" w:eastAsia="SVN-Gilroy" w:hAnsi="SVN-Gilroy" w:cs="SVN-Gilroy"/>
          <w:i/>
        </w:rPr>
        <w:t xml:space="preserve"> </w:t>
      </w:r>
      <w:proofErr w:type="spellStart"/>
      <w:r>
        <w:rPr>
          <w:rFonts w:ascii="SVN-Gilroy" w:eastAsia="SVN-Gilroy" w:hAnsi="SVN-Gilroy" w:cs="SVN-Gilroy"/>
          <w:i/>
        </w:rPr>
        <w:t>ngày</w:t>
      </w:r>
      <w:proofErr w:type="spellEnd"/>
      <w:r>
        <w:rPr>
          <w:rFonts w:ascii="SVN-Gilroy" w:eastAsia="SVN-Gilroy" w:hAnsi="SVN-Gilroy" w:cs="SVN-Gilroy"/>
          <w:i/>
        </w:rPr>
        <w:t xml:space="preserve"> ………/………/………. (“</w:t>
      </w:r>
      <w:proofErr w:type="spellStart"/>
      <w:r>
        <w:rPr>
          <w:rFonts w:ascii="SVN-Gilroy" w:eastAsia="SVN-Gilroy" w:hAnsi="SVN-Gilroy" w:cs="SVN-Gilroy"/>
          <w:b/>
          <w:i/>
        </w:rPr>
        <w:t>Giấy</w:t>
      </w:r>
      <w:proofErr w:type="spellEnd"/>
      <w:r>
        <w:rPr>
          <w:rFonts w:ascii="SVN-Gilroy" w:eastAsia="SVN-Gilroy" w:hAnsi="SVN-Gilroy" w:cs="SVN-Gilroy"/>
          <w:b/>
          <w:i/>
        </w:rPr>
        <w:t xml:space="preserve"> </w:t>
      </w:r>
      <w:proofErr w:type="spellStart"/>
      <w:r>
        <w:rPr>
          <w:rFonts w:ascii="SVN-Gilroy" w:eastAsia="SVN-Gilroy" w:hAnsi="SVN-Gilroy" w:cs="SVN-Gilroy"/>
          <w:b/>
          <w:i/>
        </w:rPr>
        <w:t>đề</w:t>
      </w:r>
      <w:proofErr w:type="spellEnd"/>
      <w:r>
        <w:rPr>
          <w:rFonts w:ascii="SVN-Gilroy" w:eastAsia="SVN-Gilroy" w:hAnsi="SVN-Gilroy" w:cs="SVN-Gilroy"/>
          <w:b/>
          <w:i/>
        </w:rPr>
        <w:t xml:space="preserve"> </w:t>
      </w:r>
      <w:proofErr w:type="spellStart"/>
      <w:r>
        <w:rPr>
          <w:rFonts w:ascii="SVN-Gilroy" w:eastAsia="SVN-Gilroy" w:hAnsi="SVN-Gilroy" w:cs="SVN-Gilroy"/>
          <w:b/>
          <w:i/>
        </w:rPr>
        <w:t>nghị</w:t>
      </w:r>
      <w:proofErr w:type="spellEnd"/>
      <w:r>
        <w:rPr>
          <w:rFonts w:ascii="SVN-Gilroy" w:eastAsia="SVN-Gilroy" w:hAnsi="SVN-Gilroy" w:cs="SVN-Gilroy"/>
          <w:i/>
        </w:rPr>
        <w:t xml:space="preserve">”)/ Attached with the Service Application Form signed by the Customer on .../.../... </w:t>
      </w:r>
      <w:r>
        <w:rPr>
          <w:rFonts w:ascii="SVN-Gilroy" w:eastAsia="SVN-Gilroy" w:hAnsi="SVN-Gilroy" w:cs="SVN-Gilroy"/>
          <w:b/>
          <w:i/>
        </w:rPr>
        <w:t>(“Request”)</w:t>
      </w:r>
    </w:p>
    <w:p w:rsidR="00C115C1" w:rsidRDefault="00C115C1">
      <w:pPr>
        <w:ind w:left="-284" w:right="-426" w:hanging="283"/>
        <w:jc w:val="center"/>
        <w:rPr>
          <w:rFonts w:ascii="SVN-Gilroy" w:eastAsia="SVN-Gilroy" w:hAnsi="SVN-Gilroy" w:cs="SVN-Gilroy"/>
        </w:rPr>
      </w:pPr>
    </w:p>
    <w:tbl>
      <w:tblPr>
        <w:tblStyle w:val="a0"/>
        <w:tblW w:w="10949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5421"/>
        <w:gridCol w:w="5528"/>
      </w:tblGrid>
      <w:tr w:rsidR="00C115C1" w:rsidTr="00D44EA0">
        <w:trPr>
          <w:trHeight w:val="445"/>
        </w:trPr>
        <w:tc>
          <w:tcPr>
            <w:tcW w:w="10949" w:type="dxa"/>
            <w:gridSpan w:val="2"/>
            <w:shd w:val="clear" w:color="auto" w:fill="00B050"/>
            <w:vAlign w:val="center"/>
          </w:tcPr>
          <w:p w:rsidR="00C115C1" w:rsidRDefault="000C63FF">
            <w:pPr>
              <w:tabs>
                <w:tab w:val="left" w:pos="9900"/>
              </w:tabs>
              <w:spacing w:before="60"/>
              <w:ind w:right="-634"/>
              <w:rPr>
                <w:rFonts w:ascii="SVN-Gilroy" w:eastAsia="SVN-Gilroy" w:hAnsi="SVN-Gilroy" w:cs="SVN-Gilroy"/>
                <w:b/>
                <w:i/>
              </w:rPr>
            </w:pPr>
            <w:r>
              <w:rPr>
                <w:rFonts w:ascii="SVN-Gilroy" w:eastAsia="SVN-Gilroy" w:hAnsi="SVN-Gilroy" w:cs="SVN-Gilroy"/>
                <w:b/>
              </w:rPr>
              <w:t xml:space="preserve">A. PHẦN DÀNH CHO KHÁCH HÀNG/ </w:t>
            </w:r>
            <w:r>
              <w:rPr>
                <w:rFonts w:ascii="SVN-Gilroy" w:eastAsia="SVN-Gilroy" w:hAnsi="SVN-Gilroy" w:cs="SVN-Gilroy"/>
                <w:b/>
                <w:i/>
              </w:rPr>
              <w:t>FOR CUSTOMER</w:t>
            </w:r>
          </w:p>
        </w:tc>
      </w:tr>
      <w:tr w:rsidR="00C115C1" w:rsidTr="00D44EA0">
        <w:trPr>
          <w:trHeight w:val="445"/>
        </w:trPr>
        <w:tc>
          <w:tcPr>
            <w:tcW w:w="10949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C115C1" w:rsidRDefault="000C63FF">
            <w:pPr>
              <w:tabs>
                <w:tab w:val="left" w:pos="9900"/>
              </w:tabs>
              <w:spacing w:before="60"/>
              <w:ind w:right="-634"/>
              <w:rPr>
                <w:rFonts w:ascii="SVN-Gilroy" w:eastAsia="SVN-Gilroy" w:hAnsi="SVN-Gilroy" w:cs="SVN-Gilroy"/>
                <w:b/>
              </w:rPr>
            </w:pPr>
            <w:proofErr w:type="spellStart"/>
            <w:r>
              <w:rPr>
                <w:rFonts w:ascii="SVN-Gilroy" w:eastAsia="SVN-Gilroy" w:hAnsi="SVN-Gilroy" w:cs="SVN-Gilroy"/>
                <w:b/>
              </w:rPr>
              <w:t>Bằng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/>
              </w:rPr>
              <w:t>văn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/>
              </w:rPr>
              <w:t>bản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/>
              </w:rPr>
              <w:t>này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, </w:t>
            </w:r>
            <w:proofErr w:type="spellStart"/>
            <w:r>
              <w:rPr>
                <w:rFonts w:ascii="SVN-Gilroy" w:eastAsia="SVN-Gilroy" w:hAnsi="SVN-Gilroy" w:cs="SVN-Gilroy"/>
                <w:b/>
              </w:rPr>
              <w:t>Chủ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/>
              </w:rPr>
              <w:t>đề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b/>
              </w:rPr>
              <w:t>nghị</w:t>
            </w:r>
            <w:proofErr w:type="spellEnd"/>
            <w:r>
              <w:rPr>
                <w:rFonts w:ascii="SVN-Gilroy" w:eastAsia="SVN-Gilroy" w:hAnsi="SVN-Gilroy" w:cs="SVN-Gilroy"/>
                <w:b/>
              </w:rPr>
              <w:t xml:space="preserve">/ </w:t>
            </w:r>
            <w:r>
              <w:rPr>
                <w:rFonts w:ascii="SVN-Gilroy" w:eastAsia="SVN-Gilroy" w:hAnsi="SVN-Gilroy" w:cs="SVN-Gilroy"/>
                <w:b/>
                <w:i/>
              </w:rPr>
              <w:t>By the means of this document, the Account holder requests</w:t>
            </w:r>
            <w:r>
              <w:rPr>
                <w:rFonts w:ascii="SVN-Gilroy" w:eastAsia="SVN-Gilroy" w:hAnsi="SVN-Gilroy" w:cs="SVN-Gilroy"/>
                <w:b/>
              </w:rPr>
              <w:t>:</w:t>
            </w:r>
          </w:p>
        </w:tc>
      </w:tr>
      <w:tr w:rsidR="00C115C1" w:rsidTr="00D44EA0">
        <w:trPr>
          <w:trHeight w:val="6087"/>
        </w:trPr>
        <w:tc>
          <w:tcPr>
            <w:tcW w:w="5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C115C1" w:rsidRDefault="000C63FF">
            <w:pPr>
              <w:tabs>
                <w:tab w:val="center" w:pos="336"/>
                <w:tab w:val="center" w:pos="2268"/>
                <w:tab w:val="center" w:pos="6804"/>
              </w:tabs>
              <w:spacing w:before="100" w:after="100"/>
              <w:ind w:right="75"/>
              <w:rPr>
                <w:rFonts w:ascii="SVN-Gilroy" w:eastAsia="SVN-Gilroy" w:hAnsi="SVN-Gilroy" w:cs="SVN-Gilroy"/>
                <w:i/>
              </w:rPr>
            </w:pPr>
            <w:r>
              <w:rPr>
                <w:rFonts w:ascii="SVN-Gilroy" w:eastAsia="SVN-Gilroy" w:hAnsi="SVN-Gilroy" w:cs="SVN-Gilroy"/>
              </w:rPr>
              <w:t xml:space="preserve">☐ </w:t>
            </w:r>
            <w:r w:rsidR="00D44EA0"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</w:rPr>
              <w:t>Phong</w:t>
            </w:r>
            <w:r>
              <w:rPr>
                <w:rFonts w:ascii="SVN-Gilroy" w:eastAsia="SVN-Gilroy" w:hAnsi="SVN-Gilroy" w:cs="SVN-Gilroy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thanh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toán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</w:rPr>
              <w:t>(</w:t>
            </w:r>
            <w:r w:rsidR="006E6AE1">
              <w:rPr>
                <w:rFonts w:ascii="SVN-Gilroy" w:eastAsia="SVN-Gilroy" w:hAnsi="SVN-Gilroy" w:cs="SVN-Gilroy"/>
                <w:i/>
              </w:rPr>
              <w:t xml:space="preserve">Freeze </w:t>
            </w:r>
            <w:r>
              <w:rPr>
                <w:rFonts w:ascii="SVN-Gilroy" w:eastAsia="SVN-Gilroy" w:hAnsi="SVN-Gilroy" w:cs="SVN-Gilroy"/>
                <w:i/>
              </w:rPr>
              <w:t>the current account )</w:t>
            </w:r>
          </w:p>
          <w:p w:rsidR="00C115C1" w:rsidRDefault="000C6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spacing w:before="100"/>
              <w:ind w:right="75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(Account number)</w:t>
            </w:r>
            <w:r>
              <w:rPr>
                <w:rFonts w:ascii="SVN-Gilroy" w:eastAsia="SVN-Gilroy" w:hAnsi="SVN-Gilroy" w:cs="SVN-Gilroy"/>
                <w:color w:val="000000"/>
              </w:rPr>
              <w:t>: ………………………………………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………………………</w:t>
            </w:r>
            <w:r>
              <w:rPr>
                <w:rFonts w:ascii="SVN-Gilroy" w:eastAsia="SVN-Gilroy" w:hAnsi="SVN-Gilroy" w:cs="SVN-Gilroy"/>
                <w:color w:val="000000"/>
              </w:rPr>
              <w:t>…….……………</w:t>
            </w:r>
          </w:p>
          <w:p w:rsidR="00C115C1" w:rsidRDefault="000C6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right="75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tiền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 w:rsidR="006E6AE1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(Amount of </w:t>
            </w:r>
            <w:proofErr w:type="spellStart"/>
            <w:r w:rsidR="006E6AE1">
              <w:rPr>
                <w:rFonts w:ascii="SVN-Gilroy" w:eastAsia="SVN-Gilroy" w:hAnsi="SVN-Gilroy" w:cs="SVN-Gilroy"/>
                <w:i/>
                <w:color w:val="000000"/>
              </w:rPr>
              <w:t>freezed</w:t>
            </w:r>
            <w:proofErr w:type="spellEnd"/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 money)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: ……………………………………….…………..</w:t>
            </w:r>
            <w:r>
              <w:rPr>
                <w:rFonts w:ascii="SVN-Gilroy" w:eastAsia="SVN-Gilroy" w:hAnsi="SVN-Gilroy" w:cs="SVN-Gilroy"/>
                <w:color w:val="000000"/>
              </w:rPr>
              <w:t>……………</w:t>
            </w:r>
          </w:p>
          <w:p w:rsidR="00C115C1" w:rsidRDefault="000C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29" w:right="75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>(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Bằng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chữ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(In words)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: …………………………..……</w:t>
            </w:r>
            <w:r>
              <w:rPr>
                <w:rFonts w:ascii="SVN-Gilroy" w:eastAsia="SVN-Gilroy" w:hAnsi="SVN-Gilroy" w:cs="SVN-Gilroy"/>
                <w:color w:val="000000"/>
              </w:rPr>
              <w:t>………</w:t>
            </w:r>
          </w:p>
          <w:p w:rsidR="00C115C1" w:rsidRDefault="00D4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29" w:right="75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>……………………………………………………</w:t>
            </w:r>
            <w:r w:rsidR="000C63FF">
              <w:rPr>
                <w:rFonts w:ascii="SVN-Gilroy" w:eastAsia="SVN-Gilroy" w:hAnsi="SVN-Gilroy" w:cs="SVN-Gilroy"/>
                <w:color w:val="000000"/>
              </w:rPr>
              <w:t>……………..………………)</w:t>
            </w:r>
          </w:p>
          <w:p w:rsidR="00C115C1" w:rsidRDefault="000C6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right="75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Lý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do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(Reason)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: ………………………………………</w:t>
            </w:r>
            <w:r>
              <w:rPr>
                <w:rFonts w:ascii="SVN-Gilroy" w:eastAsia="SVN-Gilroy" w:hAnsi="SVN-Gilroy" w:cs="SVN-Gilroy"/>
                <w:color w:val="000000"/>
              </w:rPr>
              <w:t>…………….</w:t>
            </w:r>
          </w:p>
          <w:p w:rsidR="00D44EA0" w:rsidRDefault="00D44EA0" w:rsidP="00D4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44" w:right="75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>……………………………………………………………………………………</w:t>
            </w:r>
          </w:p>
          <w:p w:rsidR="00C115C1" w:rsidRDefault="000C6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right="74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hạn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 w:rsidR="006E6AE1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 w:rsidR="006E6AE1">
              <w:rPr>
                <w:rFonts w:ascii="SVN-Gilroy" w:eastAsia="SVN-Gilroy" w:hAnsi="SVN-Gilroy" w:cs="SVN-Gilroy"/>
                <w:i/>
              </w:rPr>
              <w:t>(Freeze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 term)</w:t>
            </w:r>
            <w:r>
              <w:rPr>
                <w:rFonts w:ascii="SVN-Gilroy" w:eastAsia="SVN-Gilroy" w:hAnsi="SVN-Gilroy" w:cs="SVN-Gilroy"/>
                <w:color w:val="000000"/>
              </w:rPr>
              <w:t xml:space="preserve">: </w:t>
            </w:r>
          </w:p>
          <w:p w:rsidR="00C115C1" w:rsidRDefault="000C63FF" w:rsidP="00D4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29" w:right="74"/>
              <w:jc w:val="both"/>
              <w:rPr>
                <w:rFonts w:ascii="SVN-Gilroy" w:eastAsia="SVN-Gilroy" w:hAnsi="SVN-Gilroy" w:cs="SVN-Gilroy"/>
                <w:i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Kể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từ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điểm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VPBank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xác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nhận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đã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thực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hiện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 w:rsidR="006E6AE1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(Since VPBank confirms to </w:t>
            </w:r>
            <w:r w:rsidR="006E6AE1">
              <w:rPr>
                <w:rFonts w:ascii="SVN-Gilroy" w:eastAsia="SVN-Gilroy" w:hAnsi="SVN-Gilroy" w:cs="SVN-Gilroy"/>
                <w:i/>
              </w:rPr>
              <w:t>(freeze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 the current account)</w:t>
            </w:r>
          </w:p>
          <w:p w:rsidR="00C115C1" w:rsidRDefault="000C63FF" w:rsidP="00D4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89"/>
                <w:tab w:val="center" w:pos="2268"/>
                <w:tab w:val="center" w:pos="6804"/>
              </w:tabs>
              <w:ind w:left="689" w:right="74" w:hanging="336"/>
              <w:jc w:val="both"/>
              <w:rPr>
                <w:rFonts w:ascii="SVN-Gilroy" w:eastAsia="SVN-Gilroy" w:hAnsi="SVN-Gilroy" w:cs="SVN-Gilroy"/>
                <w:color w:val="000000"/>
              </w:rPr>
            </w:pPr>
            <w:proofErr w:type="gramStart"/>
            <w:r>
              <w:rPr>
                <w:rFonts w:ascii="SVN-Gilroy" w:eastAsia="SVN-Gilroy" w:hAnsi="SVN-Gilroy" w:cs="SVN-Gilroy"/>
                <w:color w:val="000000"/>
              </w:rPr>
              <w:t xml:space="preserve">☐ 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color w:val="000000"/>
              </w:rPr>
              <w:t>Cho</w:t>
            </w:r>
            <w:proofErr w:type="gram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đến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hết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ngày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…………………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Hết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hạn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này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, VPBank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có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quyền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tự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động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 w:rsidR="006E6AE1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thanh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toán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(To the end of (date) ………………… Until the end of this term, VPBank has the right to </w:t>
            </w:r>
            <w:r w:rsidR="006E6AE1">
              <w:rPr>
                <w:rFonts w:ascii="SVN-Gilroy" w:eastAsia="SVN-Gilroy" w:hAnsi="SVN-Gilroy" w:cs="SVN-Gilroy"/>
                <w:i/>
              </w:rPr>
              <w:t>freeze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 the Current account)</w:t>
            </w:r>
            <w:r>
              <w:rPr>
                <w:rFonts w:ascii="SVN-Gilroy" w:eastAsia="SVN-Gilroy" w:hAnsi="SVN-Gilroy" w:cs="SVN-Gilroy"/>
                <w:color w:val="000000"/>
              </w:rPr>
              <w:t>.</w:t>
            </w:r>
          </w:p>
          <w:p w:rsidR="00C115C1" w:rsidRDefault="000C63FF" w:rsidP="00D4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89"/>
                <w:tab w:val="center" w:pos="2268"/>
                <w:tab w:val="center" w:pos="6804"/>
              </w:tabs>
              <w:ind w:left="689" w:right="74" w:hanging="336"/>
              <w:jc w:val="both"/>
              <w:rPr>
                <w:rFonts w:ascii="SVN-Gilroy" w:eastAsia="SVN-Gilroy" w:hAnsi="SVN-Gilroy" w:cs="SVN-Gilroy"/>
                <w:color w:val="000000"/>
              </w:rPr>
            </w:pPr>
            <w:proofErr w:type="gramStart"/>
            <w:r>
              <w:rPr>
                <w:rFonts w:ascii="SVN-Gilroy" w:eastAsia="SVN-Gilroy" w:hAnsi="SVN-Gilroy" w:cs="SVN-Gilroy"/>
                <w:color w:val="000000"/>
              </w:rPr>
              <w:t xml:space="preserve">☐ 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color w:val="000000"/>
              </w:rPr>
              <w:t>Cho</w:t>
            </w:r>
            <w:proofErr w:type="gram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đến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VPBank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nhận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được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Văn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đề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nghị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 w:rsidR="006E6AE1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của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Chủ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(Until VPBank receive the Request to un</w:t>
            </w:r>
            <w:r w:rsidR="006E6AE1">
              <w:rPr>
                <w:rFonts w:ascii="SVN-Gilroy" w:eastAsia="SVN-Gilroy" w:hAnsi="SVN-Gilroy" w:cs="SVN-Gilroy"/>
                <w:i/>
              </w:rPr>
              <w:t>freeze</w:t>
            </w:r>
            <w:r w:rsidR="006E6AE1">
              <w:rPr>
                <w:rFonts w:ascii="SVN-Gilroy" w:eastAsia="SVN-Gilroy" w:hAnsi="SVN-Gilroy" w:cs="SVN-Gilroy"/>
                <w:i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the current account of the Account holder)</w:t>
            </w:r>
            <w:r>
              <w:rPr>
                <w:rFonts w:ascii="SVN-Gilroy" w:eastAsia="SVN-Gilroy" w:hAnsi="SVN-Gilroy" w:cs="SVN-Gilroy"/>
                <w:color w:val="000000"/>
              </w:rPr>
              <w:t xml:space="preserve">. </w:t>
            </w:r>
          </w:p>
          <w:p w:rsidR="00C115C1" w:rsidRDefault="000C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89"/>
                <w:tab w:val="center" w:pos="2268"/>
                <w:tab w:val="center" w:pos="6804"/>
              </w:tabs>
              <w:ind w:left="689" w:right="74" w:hanging="336"/>
              <w:rPr>
                <w:rFonts w:ascii="SVN-Gilroy" w:eastAsia="SVN-Gilroy" w:hAnsi="SVN-Gilroy" w:cs="SVN-Gilroy"/>
                <w:color w:val="000000"/>
              </w:rPr>
            </w:pPr>
            <w:proofErr w:type="gramStart"/>
            <w:r>
              <w:rPr>
                <w:rFonts w:ascii="SVN-Gilroy" w:eastAsia="SVN-Gilroy" w:hAnsi="SVN-Gilroy" w:cs="SVN-Gilroy"/>
                <w:color w:val="000000"/>
              </w:rPr>
              <w:t xml:space="preserve">☐ 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color w:val="000000"/>
              </w:rPr>
              <w:t>Cho</w:t>
            </w:r>
            <w:proofErr w:type="gram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đến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(Until)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 xml:space="preserve"> …………………………………</w:t>
            </w:r>
            <w:r>
              <w:rPr>
                <w:rFonts w:ascii="SVN-Gilroy" w:eastAsia="SVN-Gilroy" w:hAnsi="SVN-Gilroy" w:cs="SVN-Gilroy"/>
                <w:color w:val="000000"/>
              </w:rPr>
              <w:t>………………</w:t>
            </w:r>
          </w:p>
          <w:p w:rsidR="00D44EA0" w:rsidRDefault="000C63FF" w:rsidP="00D44EA0">
            <w:pPr>
              <w:tabs>
                <w:tab w:val="left" w:pos="9900"/>
              </w:tabs>
              <w:ind w:right="75"/>
              <w:jc w:val="both"/>
              <w:rPr>
                <w:rFonts w:ascii="SVN-Gilroy" w:eastAsia="SVN-Gilroy" w:hAnsi="SVN-Gilroy" w:cs="SVN-Gilroy"/>
              </w:rPr>
            </w:pPr>
            <w:proofErr w:type="spellStart"/>
            <w:r>
              <w:rPr>
                <w:rFonts w:ascii="SVN-Gilroy" w:eastAsia="SVN-Gilroy" w:hAnsi="SVN-Gilroy" w:cs="SVN-Gilroy"/>
              </w:rPr>
              <w:t>Chỉ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dẫn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thanh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toán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trong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gian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bị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</w:rPr>
              <w:t>phong</w:t>
            </w:r>
            <w:proofErr w:type="spellEnd"/>
            <w:r w:rsidR="006E6AE1"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(</w:t>
            </w:r>
            <w:proofErr w:type="spellStart"/>
            <w:r>
              <w:rPr>
                <w:rFonts w:ascii="SVN-Gilroy" w:eastAsia="SVN-Gilroy" w:hAnsi="SVN-Gilroy" w:cs="SVN-Gilroy"/>
              </w:rPr>
              <w:t>nếu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có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) </w:t>
            </w:r>
            <w:r>
              <w:rPr>
                <w:rFonts w:ascii="SVN-Gilroy" w:eastAsia="SVN-Gilroy" w:hAnsi="SVN-Gilroy" w:cs="SVN-Gilroy"/>
                <w:i/>
              </w:rPr>
              <w:t xml:space="preserve">(Guides on payment during the time of </w:t>
            </w:r>
            <w:r w:rsidR="006E6AE1">
              <w:rPr>
                <w:rFonts w:ascii="SVN-Gilroy" w:eastAsia="SVN-Gilroy" w:hAnsi="SVN-Gilroy" w:cs="SVN-Gilroy"/>
                <w:i/>
              </w:rPr>
              <w:t>freez</w:t>
            </w:r>
            <w:r>
              <w:rPr>
                <w:rFonts w:ascii="SVN-Gilroy" w:eastAsia="SVN-Gilroy" w:hAnsi="SVN-Gilroy" w:cs="SVN-Gilroy"/>
                <w:i/>
              </w:rPr>
              <w:t>ing account (if any))</w:t>
            </w:r>
            <w:r w:rsidR="00D44EA0">
              <w:rPr>
                <w:rFonts w:ascii="SVN-Gilroy" w:eastAsia="SVN-Gilroy" w:hAnsi="SVN-Gilroy" w:cs="SVN-Gilroy"/>
              </w:rPr>
              <w:t>: …………….…….</w:t>
            </w:r>
          </w:p>
          <w:p w:rsidR="00C115C1" w:rsidRDefault="00D44EA0" w:rsidP="00D44EA0">
            <w:pPr>
              <w:tabs>
                <w:tab w:val="left" w:pos="9900"/>
              </w:tabs>
              <w:ind w:right="75"/>
              <w:jc w:val="both"/>
              <w:rPr>
                <w:rFonts w:ascii="SVN-Gilroy" w:eastAsia="SVN-Gilroy" w:hAnsi="SVN-Gilroy" w:cs="SVN-Gilroy"/>
              </w:rPr>
            </w:pPr>
            <w:r>
              <w:rPr>
                <w:rFonts w:ascii="SVN-Gilroy" w:eastAsia="SVN-Gilroy" w:hAnsi="SVN-Gilroy" w:cs="SVN-Gilroy"/>
              </w:rPr>
              <w:t>……………………………………………………………………………………….....</w:t>
            </w:r>
          </w:p>
        </w:tc>
        <w:tc>
          <w:tcPr>
            <w:tcW w:w="55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C115C1" w:rsidRDefault="000C63FF">
            <w:pPr>
              <w:tabs>
                <w:tab w:val="center" w:pos="336"/>
                <w:tab w:val="center" w:pos="2268"/>
                <w:tab w:val="center" w:pos="6804"/>
              </w:tabs>
              <w:spacing w:before="100" w:after="100"/>
              <w:rPr>
                <w:rFonts w:ascii="SVN-Gilroy" w:eastAsia="SVN-Gilroy" w:hAnsi="SVN-Gilroy" w:cs="SVN-Gilroy"/>
                <w:i/>
              </w:rPr>
            </w:pPr>
            <w:r>
              <w:rPr>
                <w:rFonts w:ascii="SVN-Gilroy" w:eastAsia="SVN-Gilroy" w:hAnsi="SVN-Gilroy" w:cs="SVN-Gilroy"/>
              </w:rPr>
              <w:t xml:space="preserve">☐ </w:t>
            </w:r>
            <w:r w:rsidR="00D44EA0">
              <w:rPr>
                <w:rFonts w:ascii="SVN-Gilroy" w:eastAsia="SVN-Gilroy" w:hAnsi="SVN-Gilroy" w:cs="SVN-Gilroy"/>
              </w:rPr>
              <w:t xml:space="preserve"> </w:t>
            </w:r>
            <w:r>
              <w:rPr>
                <w:rFonts w:ascii="SVN-Gilroy" w:eastAsia="SVN-Gilroy" w:hAnsi="SVN-Gilroy" w:cs="SVN-Gilroy"/>
              </w:rPr>
              <w:t xml:space="preserve">Phong </w:t>
            </w:r>
            <w:proofErr w:type="spellStart"/>
            <w:r>
              <w:rPr>
                <w:rFonts w:ascii="SVN-Gilroy" w:eastAsia="SVN-Gilroy" w:hAnsi="SVN-Gilroy" w:cs="SVN-Gilroy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khoả</w:t>
            </w:r>
            <w:r w:rsidR="00D44EA0">
              <w:rPr>
                <w:rFonts w:ascii="SVN-Gilroy" w:eastAsia="SVN-Gilroy" w:hAnsi="SVN-Gilroy" w:cs="SVN-Gilroy"/>
              </w:rPr>
              <w:t>n</w:t>
            </w:r>
            <w:proofErr w:type="spellEnd"/>
            <w:r w:rsidR="00D44EA0"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 w:rsidR="00D44EA0">
              <w:rPr>
                <w:rFonts w:ascii="SVN-Gilroy" w:eastAsia="SVN-Gilroy" w:hAnsi="SVN-Gilroy" w:cs="SVN-Gilroy"/>
              </w:rPr>
              <w:t>thanh</w:t>
            </w:r>
            <w:proofErr w:type="spellEnd"/>
            <w:r w:rsidR="00D44EA0"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 w:rsidR="00D44EA0">
              <w:rPr>
                <w:rFonts w:ascii="SVN-Gilroy" w:eastAsia="SVN-Gilroy" w:hAnsi="SVN-Gilroy" w:cs="SVN-Gilroy"/>
              </w:rPr>
              <w:t>toán</w:t>
            </w:r>
            <w:proofErr w:type="spellEnd"/>
            <w:r w:rsidR="00D44EA0"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 w:rsidR="00D44EA0">
              <w:rPr>
                <w:rFonts w:ascii="SVN-Gilroy" w:eastAsia="SVN-Gilroy" w:hAnsi="SVN-Gilroy" w:cs="SVN-Gilroy"/>
              </w:rPr>
              <w:t>chung</w:t>
            </w:r>
            <w:proofErr w:type="spellEnd"/>
            <w:r w:rsidR="00D44EA0">
              <w:rPr>
                <w:rFonts w:ascii="SVN-Gilroy" w:eastAsia="SVN-Gilroy" w:hAnsi="SVN-Gilroy" w:cs="SVN-Gilroy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</w:rPr>
              <w:t>(Freeze the Joint current account)</w:t>
            </w:r>
          </w:p>
          <w:p w:rsidR="00C115C1" w:rsidRDefault="000C6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spacing w:before="100"/>
              <w:rPr>
                <w:rFonts w:ascii="SVN-Gilroy" w:eastAsia="SVN-Gilroy" w:hAnsi="SVN-Gilroy" w:cs="SVN-Gilroy"/>
                <w:color w:val="00000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(Account number)</w:t>
            </w:r>
            <w:r>
              <w:rPr>
                <w:rFonts w:ascii="SVN-Gilroy" w:eastAsia="SVN-Gilroy" w:hAnsi="SVN-Gilroy" w:cs="SVN-Gilroy"/>
                <w:color w:val="000000"/>
              </w:rPr>
              <w:t>: ……………………………………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……………………….</w:t>
            </w:r>
            <w:r>
              <w:rPr>
                <w:rFonts w:ascii="SVN-Gilroy" w:eastAsia="SVN-Gilroy" w:hAnsi="SVN-Gilroy" w:cs="SVN-Gilroy"/>
                <w:color w:val="000000"/>
              </w:rPr>
              <w:t>………………………</w:t>
            </w:r>
          </w:p>
          <w:p w:rsidR="00C115C1" w:rsidRDefault="000C6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tiền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bị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(Amount of </w:t>
            </w:r>
            <w:proofErr w:type="spellStart"/>
            <w:r>
              <w:rPr>
                <w:rFonts w:ascii="SVN-Gilroy" w:eastAsia="SVN-Gilroy" w:hAnsi="SVN-Gilroy" w:cs="SVN-Gilroy"/>
                <w:i/>
                <w:color w:val="000000"/>
              </w:rPr>
              <w:t>freezed</w:t>
            </w:r>
            <w:proofErr w:type="spellEnd"/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 money)</w:t>
            </w:r>
            <w:r>
              <w:rPr>
                <w:rFonts w:ascii="SVN-Gilroy" w:eastAsia="SVN-Gilroy" w:hAnsi="SVN-Gilroy" w:cs="SVN-Gilroy"/>
                <w:color w:val="000000"/>
              </w:rPr>
              <w:t>: ……………………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……………………..</w:t>
            </w:r>
            <w:r>
              <w:rPr>
                <w:rFonts w:ascii="SVN-Gilroy" w:eastAsia="SVN-Gilroy" w:hAnsi="SVN-Gilroy" w:cs="SVN-Gilroy"/>
                <w:color w:val="000000"/>
              </w:rPr>
              <w:t>…………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.</w:t>
            </w:r>
            <w:r>
              <w:rPr>
                <w:rFonts w:ascii="SVN-Gilroy" w:eastAsia="SVN-Gilroy" w:hAnsi="SVN-Gilroy" w:cs="SVN-Gilroy"/>
                <w:color w:val="000000"/>
              </w:rPr>
              <w:t>……………</w:t>
            </w:r>
          </w:p>
          <w:p w:rsidR="00C115C1" w:rsidRDefault="000C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36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>(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Bằng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chữ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(In words)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: ………………………………</w:t>
            </w:r>
            <w:r>
              <w:rPr>
                <w:rFonts w:ascii="SVN-Gilroy" w:eastAsia="SVN-Gilroy" w:hAnsi="SVN-Gilroy" w:cs="SVN-Gilroy"/>
                <w:color w:val="000000"/>
              </w:rPr>
              <w:t>………….</w:t>
            </w:r>
          </w:p>
          <w:p w:rsidR="00C115C1" w:rsidRDefault="000C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36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>…………………………………………………………………..………………….)</w:t>
            </w:r>
          </w:p>
          <w:p w:rsidR="00C115C1" w:rsidRDefault="000C6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6"/>
                <w:tab w:val="center" w:pos="2268"/>
                <w:tab w:val="center" w:pos="6804"/>
              </w:tabs>
              <w:ind w:left="357" w:hanging="357"/>
              <w:jc w:val="both"/>
              <w:rPr>
                <w:rFonts w:ascii="SVN-Gilroy" w:eastAsia="SVN-Gilroy" w:hAnsi="SVN-Gilroy" w:cs="SVN-Gilroy"/>
                <w:i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Lý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do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 w:rsidR="00D44EA0">
              <w:rPr>
                <w:rFonts w:ascii="SVN-Gilroy" w:eastAsia="SVN-Gilroy" w:hAnsi="SVN-Gilroy" w:cs="SVN-Gilroy"/>
                <w:i/>
                <w:color w:val="000000"/>
              </w:rPr>
              <w:t>(Reason</w:t>
            </w:r>
            <w:r w:rsidR="006E6AE1">
              <w:rPr>
                <w:rFonts w:ascii="SVN-Gilroy" w:eastAsia="SVN-Gilroy" w:hAnsi="SVN-Gilroy" w:cs="SVN-Gilroy"/>
                <w:i/>
                <w:color w:val="000000"/>
              </w:rPr>
              <w:t>: …………………………………………………………</w:t>
            </w:r>
          </w:p>
          <w:p w:rsidR="00C115C1" w:rsidRDefault="000C63FF" w:rsidP="00D44E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57" w:hanging="357"/>
              <w:jc w:val="both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Có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hiệu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lực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từ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điểm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VPBank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xác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nhận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đã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thực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hiện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cho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đến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VPBank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nhận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được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Văn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có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nội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dung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đề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nghị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được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ký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bởi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tất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cả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các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Chủ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thanh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toán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chung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(To be taken effect from the time VPBank confirms to freeze until receiving the Document on unfreezing that signed by al</w:t>
            </w:r>
            <w:r w:rsidR="006E6AE1">
              <w:rPr>
                <w:rFonts w:ascii="SVN-Gilroy" w:eastAsia="SVN-Gilroy" w:hAnsi="SVN-Gilroy" w:cs="SVN-Gilroy"/>
                <w:i/>
                <w:color w:val="000000"/>
              </w:rPr>
              <w:t>l Joint current account holders)</w:t>
            </w:r>
            <w:r>
              <w:rPr>
                <w:rFonts w:ascii="SVN-Gilroy" w:eastAsia="SVN-Gilroy" w:hAnsi="SVN-Gilroy" w:cs="SVN-Gilroy"/>
                <w:color w:val="000000"/>
              </w:rPr>
              <w:t>.</w:t>
            </w:r>
          </w:p>
          <w:p w:rsidR="00C115C1" w:rsidRDefault="000C63FF" w:rsidP="00D44E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57" w:hanging="357"/>
              <w:jc w:val="both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ab/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Chỉ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dẫn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thanh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toán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trong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gian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bị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(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nếu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có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)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(Guides on payment during the time of freezing account (if any))</w:t>
            </w:r>
            <w:r>
              <w:rPr>
                <w:rFonts w:ascii="SVN-Gilroy" w:eastAsia="SVN-Gilroy" w:hAnsi="SVN-Gilroy" w:cs="SVN-Gilroy"/>
                <w:color w:val="000000"/>
              </w:rPr>
              <w:t xml:space="preserve">: </w:t>
            </w:r>
          </w:p>
          <w:p w:rsidR="00C115C1" w:rsidRDefault="000C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spacing w:after="100"/>
              <w:ind w:left="360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>…………………………………………………………………………………..................................................................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..............................</w:t>
            </w:r>
          </w:p>
        </w:tc>
      </w:tr>
      <w:tr w:rsidR="00C115C1" w:rsidTr="00D44EA0">
        <w:trPr>
          <w:trHeight w:val="3713"/>
        </w:trPr>
        <w:tc>
          <w:tcPr>
            <w:tcW w:w="5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C115C1" w:rsidRDefault="000C63FF" w:rsidP="005A1B4E">
            <w:pPr>
              <w:tabs>
                <w:tab w:val="center" w:pos="336"/>
                <w:tab w:val="center" w:pos="2268"/>
                <w:tab w:val="center" w:pos="6804"/>
              </w:tabs>
              <w:ind w:left="202" w:hanging="202"/>
              <w:jc w:val="both"/>
              <w:rPr>
                <w:rFonts w:ascii="SVN-Gilroy" w:eastAsia="SVN-Gilroy" w:hAnsi="SVN-Gilroy" w:cs="SVN-Gilroy"/>
                <w:i/>
              </w:rPr>
            </w:pPr>
            <w:r>
              <w:rPr>
                <w:rFonts w:ascii="SVN-Gilroy" w:eastAsia="SVN-Gilroy" w:hAnsi="SVN-Gilroy" w:cs="SVN-Gilroy"/>
              </w:rPr>
              <w:lastRenderedPageBreak/>
              <w:t xml:space="preserve">☐ </w:t>
            </w:r>
            <w:proofErr w:type="spellStart"/>
            <w:r>
              <w:rPr>
                <w:rFonts w:ascii="SVN-Gilroy" w:eastAsia="SVN-Gilroy" w:hAnsi="SVN-Gilroy" w:cs="SVN-Gilroy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</w:rPr>
              <w:t>phong</w:t>
            </w:r>
            <w:proofErr w:type="spellEnd"/>
            <w:r w:rsidR="006E6AE1"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thanh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toán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</w:rPr>
              <w:t>(Un</w:t>
            </w:r>
            <w:r w:rsidR="006E6AE1">
              <w:rPr>
                <w:rFonts w:ascii="SVN-Gilroy" w:eastAsia="SVN-Gilroy" w:hAnsi="SVN-Gilroy" w:cs="SVN-Gilroy"/>
                <w:i/>
              </w:rPr>
              <w:t>freeze</w:t>
            </w:r>
            <w:r>
              <w:rPr>
                <w:rFonts w:ascii="SVN-Gilroy" w:eastAsia="SVN-Gilroy" w:hAnsi="SVN-Gilroy" w:cs="SVN-Gilroy"/>
                <w:i/>
              </w:rPr>
              <w:t xml:space="preserve"> the Current account)</w:t>
            </w:r>
          </w:p>
          <w:p w:rsidR="00C115C1" w:rsidRDefault="000C63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46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(Account number)</w:t>
            </w:r>
            <w:r>
              <w:rPr>
                <w:rFonts w:ascii="SVN-Gilroy" w:eastAsia="SVN-Gilroy" w:hAnsi="SVN-Gilroy" w:cs="SVN-Gilroy"/>
                <w:color w:val="000000"/>
              </w:rPr>
              <w:t>: ………………………………………………….…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……………………..</w:t>
            </w:r>
            <w:r>
              <w:rPr>
                <w:rFonts w:ascii="SVN-Gilroy" w:eastAsia="SVN-Gilroy" w:hAnsi="SVN-Gilroy" w:cs="SVN-Gilroy"/>
                <w:color w:val="000000"/>
              </w:rPr>
              <w:t>……</w:t>
            </w:r>
          </w:p>
          <w:p w:rsidR="00C115C1" w:rsidRDefault="000C63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60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tiền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(Amount)</w:t>
            </w:r>
            <w:r>
              <w:rPr>
                <w:rFonts w:ascii="SVN-Gilroy" w:eastAsia="SVN-Gilroy" w:hAnsi="SVN-Gilroy" w:cs="SVN-Gilroy"/>
                <w:color w:val="000000"/>
              </w:rPr>
              <w:t>: ………………………………………………………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…………</w:t>
            </w:r>
            <w:r>
              <w:rPr>
                <w:rFonts w:ascii="SVN-Gilroy" w:eastAsia="SVN-Gilroy" w:hAnsi="SVN-Gilroy" w:cs="SVN-Gilroy"/>
                <w:color w:val="000000"/>
              </w:rPr>
              <w:t>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.</w:t>
            </w:r>
            <w:r>
              <w:rPr>
                <w:rFonts w:ascii="SVN-Gilroy" w:eastAsia="SVN-Gilroy" w:hAnsi="SVN-Gilroy" w:cs="SVN-Gilroy"/>
                <w:color w:val="000000"/>
              </w:rPr>
              <w:t>..…………</w:t>
            </w:r>
          </w:p>
          <w:p w:rsidR="00C115C1" w:rsidRDefault="000C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29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>(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Bằng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chữ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(In words)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: ………………………………….…… ………………………………………………………………</w:t>
            </w:r>
            <w:r>
              <w:rPr>
                <w:rFonts w:ascii="SVN-Gilroy" w:eastAsia="SVN-Gilroy" w:hAnsi="SVN-Gilroy" w:cs="SVN-Gilroy"/>
                <w:color w:val="000000"/>
              </w:rPr>
              <w:t>….………………)</w:t>
            </w:r>
          </w:p>
          <w:p w:rsidR="00C115C1" w:rsidRDefault="000C63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60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Lý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do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(Reason)</w:t>
            </w:r>
            <w:r>
              <w:rPr>
                <w:rFonts w:ascii="SVN-Gilroy" w:eastAsia="SVN-Gilroy" w:hAnsi="SVN-Gilroy" w:cs="SVN-Gilroy"/>
                <w:color w:val="000000"/>
              </w:rPr>
              <w:t>: ………………………………………………….……………………</w:t>
            </w:r>
          </w:p>
          <w:p w:rsidR="00C115C1" w:rsidRDefault="000C63FF" w:rsidP="006E6A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60"/>
              <w:jc w:val="both"/>
              <w:rPr>
                <w:rFonts w:ascii="SVN-Gilroy" w:eastAsia="SVN-Gilroy" w:hAnsi="SVN-Gilroy" w:cs="SVN-Gilroy"/>
                <w:b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điểm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: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Kể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từ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điểm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VPBank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xác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nhận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đã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thực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hiện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 w:rsidR="006E6AE1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 w:rsidR="006E6AE1"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này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(Time of </w:t>
            </w:r>
            <w:r w:rsidR="00997CE1">
              <w:rPr>
                <w:rFonts w:ascii="SVN-Gilroy" w:eastAsia="SVN-Gilroy" w:hAnsi="SVN-Gilroy" w:cs="SVN-Gilroy"/>
                <w:i/>
                <w:color w:val="000000"/>
              </w:rPr>
              <w:t>unfreezing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: Since VPBank confirms to un</w:t>
            </w:r>
            <w:r w:rsidR="006E6AE1">
              <w:rPr>
                <w:rFonts w:ascii="SVN-Gilroy" w:eastAsia="SVN-Gilroy" w:hAnsi="SVN-Gilroy" w:cs="SVN-Gilroy"/>
                <w:i/>
              </w:rPr>
              <w:t>freeze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 xml:space="preserve"> the current account)</w:t>
            </w:r>
            <w:r>
              <w:rPr>
                <w:rFonts w:ascii="SVN-Gilroy" w:eastAsia="SVN-Gilroy" w:hAnsi="SVN-Gilroy" w:cs="SVN-Gilroy"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115C1" w:rsidRDefault="000C63FF">
            <w:pPr>
              <w:tabs>
                <w:tab w:val="center" w:pos="426"/>
                <w:tab w:val="center" w:pos="2268"/>
                <w:tab w:val="center" w:pos="6804"/>
              </w:tabs>
              <w:ind w:left="426" w:hanging="426"/>
              <w:jc w:val="both"/>
              <w:rPr>
                <w:rFonts w:ascii="SVN-Gilroy" w:eastAsia="SVN-Gilroy" w:hAnsi="SVN-Gilroy" w:cs="SVN-Gilroy"/>
                <w:i/>
              </w:rPr>
            </w:pPr>
            <w:r>
              <w:rPr>
                <w:rFonts w:ascii="Segoe UI Symbol" w:eastAsia="SVN-Gilroy" w:hAnsi="Segoe UI Symbol" w:cs="Segoe UI Symbol"/>
              </w:rPr>
              <w:t>☐</w:t>
            </w:r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phong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thanh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toán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chung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</w:rPr>
              <w:t>(Unfreeze the Joint current account)</w:t>
            </w:r>
          </w:p>
          <w:p w:rsidR="00C115C1" w:rsidRDefault="000C6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36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(Account number)</w:t>
            </w:r>
            <w:r>
              <w:rPr>
                <w:rFonts w:ascii="SVN-Gilroy" w:eastAsia="SVN-Gilroy" w:hAnsi="SVN-Gilroy" w:cs="SVN-Gilroy"/>
                <w:color w:val="000000"/>
              </w:rPr>
              <w:t>: ……………………………………..…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………………………</w:t>
            </w:r>
            <w:r>
              <w:rPr>
                <w:rFonts w:ascii="SVN-Gilroy" w:eastAsia="SVN-Gilroy" w:hAnsi="SVN-Gilroy" w:cs="SVN-Gilroy"/>
                <w:color w:val="000000"/>
              </w:rPr>
              <w:t>……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..</w:t>
            </w:r>
            <w:r>
              <w:rPr>
                <w:rFonts w:ascii="SVN-Gilroy" w:eastAsia="SVN-Gilroy" w:hAnsi="SVN-Gilroy" w:cs="SVN-Gilroy"/>
                <w:color w:val="000000"/>
              </w:rPr>
              <w:t>……………</w:t>
            </w:r>
          </w:p>
          <w:p w:rsidR="00C115C1" w:rsidRDefault="000C6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36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tiền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(Amount)</w:t>
            </w:r>
            <w:r>
              <w:rPr>
                <w:rFonts w:ascii="SVN-Gilroy" w:eastAsia="SVN-Gilroy" w:hAnsi="SVN-Gilroy" w:cs="SVN-Gilroy"/>
                <w:color w:val="000000"/>
              </w:rPr>
              <w:t>: ………………………………………………………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……………..</w:t>
            </w:r>
            <w:r>
              <w:rPr>
                <w:rFonts w:ascii="SVN-Gilroy" w:eastAsia="SVN-Gilroy" w:hAnsi="SVN-Gilroy" w:cs="SVN-Gilroy"/>
                <w:color w:val="000000"/>
              </w:rPr>
              <w:t>………………</w:t>
            </w:r>
          </w:p>
          <w:p w:rsidR="00C115C1" w:rsidRDefault="000C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36"/>
              <w:rPr>
                <w:rFonts w:ascii="SVN-Gilroy" w:eastAsia="SVN-Gilroy" w:hAnsi="SVN-Gilroy" w:cs="SVN-Gilroy"/>
                <w:color w:val="000000"/>
              </w:rPr>
            </w:pPr>
            <w:r>
              <w:rPr>
                <w:rFonts w:ascii="SVN-Gilroy" w:eastAsia="SVN-Gilroy" w:hAnsi="SVN-Gilroy" w:cs="SVN-Gilroy"/>
                <w:color w:val="000000"/>
              </w:rPr>
              <w:t>(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Bằng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chữ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(In words)</w:t>
            </w:r>
            <w:r w:rsidR="00D44EA0">
              <w:rPr>
                <w:rFonts w:ascii="SVN-Gilroy" w:eastAsia="SVN-Gilroy" w:hAnsi="SVN-Gilroy" w:cs="SVN-Gilroy"/>
                <w:color w:val="000000"/>
              </w:rPr>
              <w:t>: …………………………………</w:t>
            </w:r>
            <w:r>
              <w:rPr>
                <w:rFonts w:ascii="SVN-Gilroy" w:eastAsia="SVN-Gilroy" w:hAnsi="SVN-Gilroy" w:cs="SVN-Gilroy"/>
                <w:color w:val="000000"/>
              </w:rPr>
              <w:t>………… ………………………………………………………………………………………)</w:t>
            </w:r>
          </w:p>
          <w:p w:rsidR="00C115C1" w:rsidRDefault="000C63FF" w:rsidP="00A52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34" w:hanging="357"/>
              <w:rPr>
                <w:rFonts w:ascii="SVN-Gilroy" w:eastAsia="SVN-Gilroy" w:hAnsi="SVN-Gilroy" w:cs="SVN-Gilroy"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Lý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do</w:t>
            </w:r>
            <w:r w:rsidR="00A52DF1"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bookmarkStart w:id="1" w:name="_GoBack"/>
            <w:bookmarkEnd w:id="1"/>
            <w:r w:rsidR="00A52DF1">
              <w:rPr>
                <w:rFonts w:ascii="SVN-Gilroy" w:eastAsia="SVN-Gilroy" w:hAnsi="SVN-Gilroy" w:cs="SVN-Gilroy"/>
                <w:i/>
                <w:color w:val="000000"/>
              </w:rPr>
              <w:t>(Reason)</w:t>
            </w:r>
            <w:r>
              <w:rPr>
                <w:rFonts w:ascii="SVN-Gilroy" w:eastAsia="SVN-Gilroy" w:hAnsi="SVN-Gilroy" w:cs="SVN-Gilroy"/>
                <w:color w:val="000000"/>
              </w:rPr>
              <w:t xml:space="preserve">: </w:t>
            </w:r>
            <w:r w:rsidR="006E6AE1">
              <w:rPr>
                <w:rFonts w:ascii="SVN-Gilroy" w:eastAsia="SVN-Gilroy" w:hAnsi="SVN-Gilroy" w:cs="SVN-Gilroy"/>
                <w:color w:val="000000"/>
              </w:rPr>
              <w:t>……………………………………………………………………………</w:t>
            </w:r>
          </w:p>
          <w:p w:rsidR="00C115C1" w:rsidRDefault="000C63FF" w:rsidP="005A1B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6"/>
                <w:tab w:val="center" w:pos="2268"/>
                <w:tab w:val="center" w:pos="6804"/>
              </w:tabs>
              <w:ind w:left="334" w:hanging="357"/>
              <w:jc w:val="both"/>
              <w:rPr>
                <w:rFonts w:ascii="SVN-Gilroy" w:eastAsia="SVN-Gilroy" w:hAnsi="SVN-Gilroy" w:cs="SVN-Gilroy"/>
                <w:b/>
                <w:color w:val="000000"/>
              </w:rPr>
            </w:pP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điểm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: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Kể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từ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thời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điểm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VPBank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xác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nhận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đã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thực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hiện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chấm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dứt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phong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tỏa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  <w:color w:val="000000"/>
              </w:rPr>
              <w:t>này</w:t>
            </w:r>
            <w:proofErr w:type="spellEnd"/>
            <w:r>
              <w:rPr>
                <w:rFonts w:ascii="SVN-Gilroy" w:eastAsia="SVN-Gilroy" w:hAnsi="SVN-Gilroy" w:cs="SVN-Gilroy"/>
                <w:color w:val="000000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  <w:color w:val="000000"/>
              </w:rPr>
              <w:t>(Time of unfreezing: Since VPBank confirms to unfreeze the current account)</w:t>
            </w:r>
            <w:r>
              <w:rPr>
                <w:rFonts w:ascii="SVN-Gilroy" w:eastAsia="SVN-Gilroy" w:hAnsi="SVN-Gilroy" w:cs="SVN-Gilroy"/>
                <w:color w:val="000000"/>
              </w:rPr>
              <w:t>.</w:t>
            </w:r>
          </w:p>
        </w:tc>
      </w:tr>
      <w:tr w:rsidR="00C115C1" w:rsidTr="00D44EA0">
        <w:trPr>
          <w:trHeight w:val="371"/>
        </w:trPr>
        <w:tc>
          <w:tcPr>
            <w:tcW w:w="10949" w:type="dxa"/>
            <w:gridSpan w:val="2"/>
            <w:tcBorders>
              <w:top w:val="dotted" w:sz="4" w:space="0" w:color="000000"/>
            </w:tcBorders>
            <w:shd w:val="clear" w:color="auto" w:fill="00B050"/>
            <w:vAlign w:val="center"/>
          </w:tcPr>
          <w:p w:rsidR="00C115C1" w:rsidRDefault="000C63FF">
            <w:pPr>
              <w:tabs>
                <w:tab w:val="left" w:pos="9900"/>
              </w:tabs>
              <w:ind w:right="-108"/>
              <w:rPr>
                <w:rFonts w:ascii="SVN-Gilroy" w:eastAsia="SVN-Gilroy" w:hAnsi="SVN-Gilroy" w:cs="SVN-Gilroy"/>
                <w:b/>
              </w:rPr>
            </w:pPr>
            <w:r>
              <w:rPr>
                <w:rFonts w:ascii="SVN-Gilroy" w:eastAsia="SVN-Gilroy" w:hAnsi="SVN-Gilroy" w:cs="SVN-Gilroy"/>
                <w:b/>
              </w:rPr>
              <w:t xml:space="preserve">B. PHẦN DÀNH CHO VPBANK/ </w:t>
            </w:r>
            <w:r>
              <w:rPr>
                <w:rFonts w:ascii="SVN-Gilroy" w:eastAsia="SVN-Gilroy" w:hAnsi="SVN-Gilroy" w:cs="SVN-Gilroy"/>
                <w:b/>
                <w:i/>
              </w:rPr>
              <w:t xml:space="preserve">FOR VPBANK </w:t>
            </w:r>
          </w:p>
        </w:tc>
      </w:tr>
      <w:tr w:rsidR="00C115C1" w:rsidTr="00D44EA0">
        <w:trPr>
          <w:trHeight w:val="371"/>
        </w:trPr>
        <w:tc>
          <w:tcPr>
            <w:tcW w:w="10949" w:type="dxa"/>
            <w:gridSpan w:val="2"/>
            <w:shd w:val="clear" w:color="auto" w:fill="auto"/>
            <w:vAlign w:val="center"/>
          </w:tcPr>
          <w:p w:rsidR="00C115C1" w:rsidRDefault="000C63FF" w:rsidP="005A1B4E">
            <w:pPr>
              <w:tabs>
                <w:tab w:val="left" w:pos="9900"/>
              </w:tabs>
              <w:ind w:right="27"/>
              <w:jc w:val="both"/>
              <w:rPr>
                <w:rFonts w:ascii="SVN-Gilroy" w:eastAsia="SVN-Gilroy" w:hAnsi="SVN-Gilroy" w:cs="SVN-Gilroy"/>
                <w:b/>
                <w:i/>
              </w:rPr>
            </w:pPr>
            <w:proofErr w:type="spellStart"/>
            <w:r>
              <w:rPr>
                <w:rFonts w:ascii="SVN-Gilroy" w:eastAsia="SVN-Gilroy" w:hAnsi="SVN-Gilroy" w:cs="SVN-Gilroy"/>
              </w:rPr>
              <w:t>Vào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hồi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……….h………., </w:t>
            </w:r>
            <w:proofErr w:type="spellStart"/>
            <w:r>
              <w:rPr>
                <w:rFonts w:ascii="SVN-Gilroy" w:eastAsia="SVN-Gilroy" w:hAnsi="SVN-Gilroy" w:cs="SVN-Gilroy"/>
              </w:rPr>
              <w:t>ngày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…………………………., VPBank </w:t>
            </w:r>
            <w:proofErr w:type="spellStart"/>
            <w:r>
              <w:rPr>
                <w:rFonts w:ascii="SVN-Gilroy" w:eastAsia="SVN-Gilroy" w:hAnsi="SVN-Gilroy" w:cs="SVN-Gilroy"/>
              </w:rPr>
              <w:t>đã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thực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hiện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…………………………… </w:t>
            </w:r>
            <w:proofErr w:type="spellStart"/>
            <w:r>
              <w:rPr>
                <w:rFonts w:ascii="SVN-Gilroy" w:eastAsia="SVN-Gilroy" w:hAnsi="SVN-Gilroy" w:cs="SVN-Gilroy"/>
              </w:rPr>
              <w:t>Tài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khoản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thanh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toán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số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………………………………………</w:t>
            </w:r>
            <w:proofErr w:type="spellStart"/>
            <w:r>
              <w:rPr>
                <w:rFonts w:ascii="SVN-Gilroy" w:eastAsia="SVN-Gilroy" w:hAnsi="SVN-Gilroy" w:cs="SVN-Gilroy"/>
              </w:rPr>
              <w:t>theo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đề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nghị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nêu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trên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proofErr w:type="spellStart"/>
            <w:r>
              <w:rPr>
                <w:rFonts w:ascii="SVN-Gilroy" w:eastAsia="SVN-Gilroy" w:hAnsi="SVN-Gilroy" w:cs="SVN-Gilroy"/>
              </w:rPr>
              <w:t>của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Khách </w:t>
            </w:r>
            <w:proofErr w:type="spellStart"/>
            <w:r>
              <w:rPr>
                <w:rFonts w:ascii="SVN-Gilroy" w:eastAsia="SVN-Gilroy" w:hAnsi="SVN-Gilroy" w:cs="SVN-Gilroy"/>
              </w:rPr>
              <w:t>hàng</w:t>
            </w:r>
            <w:proofErr w:type="spellEnd"/>
            <w:r>
              <w:rPr>
                <w:rFonts w:ascii="SVN-Gilroy" w:eastAsia="SVN-Gilroy" w:hAnsi="SVN-Gilroy" w:cs="SVN-Gilroy"/>
              </w:rPr>
              <w:t xml:space="preserve"> </w:t>
            </w:r>
            <w:r>
              <w:rPr>
                <w:rFonts w:ascii="SVN-Gilroy" w:eastAsia="SVN-Gilroy" w:hAnsi="SVN-Gilroy" w:cs="SVN-Gilroy"/>
                <w:i/>
              </w:rPr>
              <w:t>(At ...h on (date) .............................., VPBank .......................... Current account number ................................. At the above request of the Customer.).</w:t>
            </w:r>
          </w:p>
        </w:tc>
      </w:tr>
      <w:tr w:rsidR="00C115C1" w:rsidTr="00D44EA0">
        <w:trPr>
          <w:trHeight w:val="371"/>
        </w:trPr>
        <w:tc>
          <w:tcPr>
            <w:tcW w:w="10949" w:type="dxa"/>
            <w:gridSpan w:val="2"/>
            <w:shd w:val="clear" w:color="auto" w:fill="auto"/>
            <w:vAlign w:val="center"/>
          </w:tcPr>
          <w:p w:rsidR="00C115C1" w:rsidRDefault="00C115C1" w:rsidP="005A1B4E">
            <w:pPr>
              <w:tabs>
                <w:tab w:val="left" w:pos="9900"/>
              </w:tabs>
              <w:spacing w:before="60"/>
              <w:ind w:right="27"/>
              <w:jc w:val="both"/>
              <w:rPr>
                <w:rFonts w:ascii="SVN-Gilroy" w:eastAsia="SVN-Gilroy" w:hAnsi="SVN-Gilroy" w:cs="SVN-Gilroy"/>
                <w:b/>
              </w:rPr>
            </w:pPr>
          </w:p>
        </w:tc>
      </w:tr>
    </w:tbl>
    <w:p w:rsidR="00C115C1" w:rsidRDefault="00C115C1">
      <w:pPr>
        <w:rPr>
          <w:rFonts w:ascii="SVN-Gilroy" w:eastAsia="SVN-Gilroy" w:hAnsi="SVN-Gilroy" w:cs="SVN-Gilroy"/>
        </w:rPr>
      </w:pPr>
    </w:p>
    <w:sectPr w:rsidR="00C115C1">
      <w:headerReference w:type="default" r:id="rId9"/>
      <w:footerReference w:type="even" r:id="rId10"/>
      <w:footerReference w:type="default" r:id="rId11"/>
      <w:pgSz w:w="11907" w:h="16840"/>
      <w:pgMar w:top="426" w:right="1134" w:bottom="360" w:left="1134" w:header="1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FD" w:rsidRDefault="002B46FD">
      <w:r>
        <w:separator/>
      </w:r>
    </w:p>
  </w:endnote>
  <w:endnote w:type="continuationSeparator" w:id="0">
    <w:p w:rsidR="002B46FD" w:rsidRDefault="002B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N-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Helve-Condens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C1" w:rsidRDefault="000C63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end"/>
    </w:r>
  </w:p>
  <w:p w:rsidR="00C115C1" w:rsidRDefault="00C115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C1" w:rsidRDefault="000C63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VN-Gilroy" w:eastAsia="SVN-Gilroy" w:hAnsi="SVN-Gilroy" w:cs="SVN-Gilroy"/>
        <w:color w:val="000000"/>
        <w:sz w:val="20"/>
        <w:szCs w:val="20"/>
      </w:rPr>
    </w:pPr>
    <w:r>
      <w:rPr>
        <w:rFonts w:ascii="SVN-Gilroy" w:eastAsia="SVN-Gilroy" w:hAnsi="SVN-Gilroy" w:cs="SVN-Gilroy"/>
        <w:color w:val="000000"/>
        <w:sz w:val="20"/>
        <w:szCs w:val="20"/>
      </w:rPr>
      <w:fldChar w:fldCharType="begin"/>
    </w:r>
    <w:r>
      <w:rPr>
        <w:rFonts w:ascii="SVN-Gilroy" w:eastAsia="SVN-Gilroy" w:hAnsi="SVN-Gilroy" w:cs="SVN-Gilroy"/>
        <w:color w:val="000000"/>
        <w:sz w:val="20"/>
        <w:szCs w:val="20"/>
      </w:rPr>
      <w:instrText>PAGE</w:instrText>
    </w:r>
    <w:r>
      <w:rPr>
        <w:rFonts w:ascii="SVN-Gilroy" w:eastAsia="SVN-Gilroy" w:hAnsi="SVN-Gilroy" w:cs="SVN-Gilroy"/>
        <w:color w:val="000000"/>
        <w:sz w:val="20"/>
        <w:szCs w:val="20"/>
      </w:rPr>
      <w:fldChar w:fldCharType="separate"/>
    </w:r>
    <w:r w:rsidR="00A52DF1">
      <w:rPr>
        <w:rFonts w:ascii="SVN-Gilroy" w:eastAsia="SVN-Gilroy" w:hAnsi="SVN-Gilroy" w:cs="SVN-Gilroy"/>
        <w:noProof/>
        <w:color w:val="000000"/>
        <w:sz w:val="20"/>
        <w:szCs w:val="20"/>
      </w:rPr>
      <w:t>2</w:t>
    </w:r>
    <w:r>
      <w:rPr>
        <w:rFonts w:ascii="SVN-Gilroy" w:eastAsia="SVN-Gilroy" w:hAnsi="SVN-Gilroy" w:cs="SVN-Gilroy"/>
        <w:color w:val="000000"/>
        <w:sz w:val="20"/>
        <w:szCs w:val="20"/>
      </w:rPr>
      <w:fldChar w:fldCharType="end"/>
    </w:r>
  </w:p>
  <w:p w:rsidR="00C115C1" w:rsidRDefault="00F355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134" w:right="360" w:firstLine="567"/>
      <w:rPr>
        <w:rFonts w:ascii="SVN-Gilroy" w:eastAsia="SVN-Gilroy" w:hAnsi="SVN-Gilroy" w:cs="SVN-Gilroy"/>
        <w:color w:val="000000"/>
        <w:sz w:val="20"/>
        <w:szCs w:val="20"/>
      </w:rPr>
    </w:pPr>
    <w:r>
      <w:rPr>
        <w:rFonts w:ascii="SVN-Gilroy" w:eastAsia="SVN-Gilroy" w:hAnsi="SVN-Gilroy" w:cs="SVN-Gilroy"/>
        <w:color w:val="000000"/>
        <w:sz w:val="20"/>
        <w:szCs w:val="20"/>
      </w:rPr>
      <w:t xml:space="preserve"> MB26.HDM-TT.DT.TK02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FD" w:rsidRDefault="002B46FD">
      <w:r>
        <w:separator/>
      </w:r>
    </w:p>
  </w:footnote>
  <w:footnote w:type="continuationSeparator" w:id="0">
    <w:p w:rsidR="002B46FD" w:rsidRDefault="002B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C1" w:rsidRDefault="00C11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48B"/>
    <w:multiLevelType w:val="multilevel"/>
    <w:tmpl w:val="7C344E4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D06"/>
    <w:multiLevelType w:val="multilevel"/>
    <w:tmpl w:val="2070EF5C"/>
    <w:lvl w:ilvl="0">
      <w:start w:val="1"/>
      <w:numFmt w:val="lowerLetter"/>
      <w:lvlText w:val="%1)"/>
      <w:lvlJc w:val="left"/>
      <w:pPr>
        <w:ind w:left="720" w:hanging="360"/>
      </w:pPr>
      <w:rPr>
        <w:rFonts w:ascii="SVN-Gilroy" w:eastAsia="SVN-Gilroy" w:hAnsi="SVN-Gilroy" w:cs="SVN-Gilroy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08CD"/>
    <w:multiLevelType w:val="multilevel"/>
    <w:tmpl w:val="B67642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97ADA"/>
    <w:multiLevelType w:val="multilevel"/>
    <w:tmpl w:val="BDAAD7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C1"/>
    <w:rsid w:val="000C63FF"/>
    <w:rsid w:val="002167B8"/>
    <w:rsid w:val="002B46FD"/>
    <w:rsid w:val="005A1B4E"/>
    <w:rsid w:val="006E6AE1"/>
    <w:rsid w:val="006F6DA4"/>
    <w:rsid w:val="00725E83"/>
    <w:rsid w:val="008F4CAF"/>
    <w:rsid w:val="00997CE1"/>
    <w:rsid w:val="00A52DF1"/>
    <w:rsid w:val="00A965A9"/>
    <w:rsid w:val="00C115C1"/>
    <w:rsid w:val="00D44EA0"/>
    <w:rsid w:val="00F34AD6"/>
    <w:rsid w:val="00F355D9"/>
    <w:rsid w:val="00F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0868"/>
  <w15:docId w15:val="{12259BB2-30C5-4924-8794-A6C3B75A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6D3"/>
    <w:rPr>
      <w:rFonts w:ascii="VNI-Times" w:hAnsi="VNI-Times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66D3"/>
    <w:pPr>
      <w:keepNext/>
      <w:jc w:val="center"/>
      <w:outlineLvl w:val="0"/>
    </w:pPr>
    <w:rPr>
      <w:b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766D3"/>
    <w:pPr>
      <w:keepNext/>
      <w:ind w:left="4320" w:hanging="4320"/>
      <w:jc w:val="both"/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766D3"/>
    <w:pPr>
      <w:keepNext/>
      <w:spacing w:before="120"/>
      <w:jc w:val="both"/>
      <w:outlineLvl w:val="2"/>
    </w:pPr>
    <w:rPr>
      <w:b/>
      <w:sz w:val="26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766D3"/>
    <w:pPr>
      <w:keepNext/>
      <w:jc w:val="both"/>
      <w:outlineLvl w:val="3"/>
    </w:pPr>
    <w:rPr>
      <w:b/>
      <w:lang w:val="x-none" w:eastAsia="x-non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9766D3"/>
    <w:pPr>
      <w:keepNext/>
      <w:jc w:val="both"/>
      <w:outlineLvl w:val="5"/>
    </w:pPr>
    <w:rPr>
      <w:sz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9766D3"/>
    <w:pPr>
      <w:keepNext/>
      <w:spacing w:before="120"/>
      <w:jc w:val="center"/>
      <w:outlineLvl w:val="6"/>
    </w:pPr>
    <w:rPr>
      <w:rFonts w:ascii="VNI-Helve-Condense" w:hAnsi="VNI-Helve-Condense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9766D3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9766D3"/>
    <w:rPr>
      <w:rFonts w:ascii="VNI-Times" w:eastAsia="Times New Roman" w:hAnsi="VNI-Times" w:cs="Times New Roman"/>
      <w:sz w:val="24"/>
      <w:szCs w:val="20"/>
    </w:rPr>
  </w:style>
  <w:style w:type="character" w:customStyle="1" w:styleId="Heading3Char">
    <w:name w:val="Heading 3 Char"/>
    <w:link w:val="Heading3"/>
    <w:rsid w:val="009766D3"/>
    <w:rPr>
      <w:rFonts w:ascii="VNI-Times" w:eastAsia="Times New Roman" w:hAnsi="VNI-Times" w:cs="Times New Roman"/>
      <w:b/>
      <w:sz w:val="26"/>
      <w:szCs w:val="20"/>
      <w:u w:val="single"/>
    </w:rPr>
  </w:style>
  <w:style w:type="character" w:customStyle="1" w:styleId="Heading4Char">
    <w:name w:val="Heading 4 Char"/>
    <w:link w:val="Heading4"/>
    <w:rsid w:val="009766D3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9766D3"/>
    <w:rPr>
      <w:rFonts w:ascii="VNI-Times" w:eastAsia="Times New Roman" w:hAnsi="VNI-Times" w:cs="Times New Roman"/>
      <w:sz w:val="28"/>
      <w:szCs w:val="20"/>
    </w:rPr>
  </w:style>
  <w:style w:type="character" w:customStyle="1" w:styleId="Heading7Char">
    <w:name w:val="Heading 7 Char"/>
    <w:link w:val="Heading7"/>
    <w:rsid w:val="009766D3"/>
    <w:rPr>
      <w:rFonts w:ascii="VNI-Helve-Condense" w:eastAsia="Times New Roman" w:hAnsi="VNI-Helve-Condense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9766D3"/>
    <w:pPr>
      <w:spacing w:before="120"/>
      <w:jc w:val="center"/>
    </w:pPr>
    <w:rPr>
      <w:sz w:val="28"/>
      <w:lang w:val="x-none" w:eastAsia="x-none"/>
    </w:rPr>
  </w:style>
  <w:style w:type="character" w:customStyle="1" w:styleId="BodyTextChar">
    <w:name w:val="Body Text Char"/>
    <w:link w:val="BodyText"/>
    <w:rsid w:val="009766D3"/>
    <w:rPr>
      <w:rFonts w:ascii="VNI-Times" w:eastAsia="Times New Roman" w:hAnsi="VNI-Time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766D3"/>
    <w:pPr>
      <w:tabs>
        <w:tab w:val="left" w:pos="2552"/>
      </w:tabs>
      <w:ind w:firstLine="720"/>
      <w:jc w:val="both"/>
    </w:pPr>
    <w:rPr>
      <w:sz w:val="28"/>
      <w:lang w:val="x-none" w:eastAsia="x-none"/>
    </w:rPr>
  </w:style>
  <w:style w:type="character" w:customStyle="1" w:styleId="BodyTextIndentChar">
    <w:name w:val="Body Text Indent Char"/>
    <w:link w:val="BodyTextIndent"/>
    <w:rsid w:val="009766D3"/>
    <w:rPr>
      <w:rFonts w:ascii="VNI-Times" w:eastAsia="Times New Roman" w:hAnsi="VNI-Times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9766D3"/>
    <w:pPr>
      <w:spacing w:before="120"/>
      <w:jc w:val="both"/>
    </w:pPr>
    <w:rPr>
      <w:lang w:val="x-none" w:eastAsia="x-none"/>
    </w:rPr>
  </w:style>
  <w:style w:type="character" w:customStyle="1" w:styleId="BodyText3Char">
    <w:name w:val="Body Text 3 Char"/>
    <w:link w:val="BodyText3"/>
    <w:rsid w:val="009766D3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rsid w:val="009766D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766D3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9766D3"/>
  </w:style>
  <w:style w:type="table" w:styleId="TableGrid">
    <w:name w:val="Table Grid"/>
    <w:basedOn w:val="TableNormal"/>
    <w:uiPriority w:val="39"/>
    <w:rsid w:val="0056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B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5B7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4A2F"/>
    <w:rPr>
      <w:rFonts w:ascii="VNI-Times" w:hAnsi="VNI-Times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86C92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86C92"/>
    <w:rPr>
      <w:rFonts w:ascii="VNI-Times" w:eastAsia="Times New Roman" w:hAnsi="VNI-Times"/>
    </w:rPr>
  </w:style>
  <w:style w:type="character" w:styleId="FootnoteReference">
    <w:name w:val="footnote reference"/>
    <w:uiPriority w:val="99"/>
    <w:semiHidden/>
    <w:unhideWhenUsed/>
    <w:rsid w:val="00C86C9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96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541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64541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4541"/>
    <w:rPr>
      <w:rFonts w:ascii="VNI-Times" w:eastAsia="Times New Roman" w:hAnsi="VNI-Times"/>
      <w:b/>
      <w:bCs/>
    </w:rPr>
  </w:style>
  <w:style w:type="paragraph" w:styleId="Header">
    <w:name w:val="header"/>
    <w:basedOn w:val="Normal"/>
    <w:link w:val="HeaderChar"/>
    <w:uiPriority w:val="99"/>
    <w:unhideWhenUsed/>
    <w:rsid w:val="00B077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07736"/>
    <w:rPr>
      <w:rFonts w:ascii="VNI-Times" w:eastAsia="Times New Roman" w:hAnsi="VNI-Times"/>
      <w:sz w:val="24"/>
    </w:rPr>
  </w:style>
  <w:style w:type="paragraph" w:styleId="ListParagraph">
    <w:name w:val="List Paragraph"/>
    <w:basedOn w:val="Normal"/>
    <w:uiPriority w:val="34"/>
    <w:qFormat/>
    <w:rsid w:val="00DA2C3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RcAQVtvaVPW4UAf+BRawULIzVQ==">AMUW2mViQdvbY9+fNHF6qpRWLUPnCgqWtn47u5G4hYhLsPoVTwBzb1YblSlUZe+Ey0sf/pGt7hWx1Y5P+40ubvXY/SQTUbdrNmgj08XX9sGvz3jv+wILp2FywcMSedr8GL2IT39xY9sE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Ngan hang TMCP Viet Nam Thinh Vuong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hungnt</dc:creator>
  <cp:lastModifiedBy>Ngoc Dang Thi Minh (FMTB - Product Digi)</cp:lastModifiedBy>
  <cp:revision>8</cp:revision>
  <dcterms:created xsi:type="dcterms:W3CDTF">2022-11-23T04:04:00Z</dcterms:created>
  <dcterms:modified xsi:type="dcterms:W3CDTF">2024-10-04T08:49:00Z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DWVEH6VHZ6H4-138-225</vt:lpwstr>
  </property>
  <property fmtid="{D5CDD505-2E9C-101B-9397-08002B2CF9AE}" pid="3" name="_dlc_DocIdItemGuid">
    <vt:lpwstr>60a35de6-707a-4209-9074-fab21c9a8173</vt:lpwstr>
  </property>
  <property fmtid="{D5CDD505-2E9C-101B-9397-08002B2CF9AE}" pid="4" name="_dlc_DocIdUrl">
    <vt:lpwstr>https://eoffice.vpbank.com.vn/vbqt/_layouts/DocIdRedir.aspx?ID=DWVEH6VHZ6H4-138-225, DWVEH6VHZ6H4-138-225</vt:lpwstr>
  </property>
  <property fmtid="{D5CDD505-2E9C-101B-9397-08002B2CF9AE}" pid="5" name="DonViSoanThao">
    <vt:lpwstr>4</vt:lpwstr>
  </property>
  <property fmtid="{D5CDD505-2E9C-101B-9397-08002B2CF9AE}" pid="6" name="TinhTrangVB">
    <vt:lpwstr>Hiệu lực</vt:lpwstr>
  </property>
  <property fmtid="{D5CDD505-2E9C-101B-9397-08002B2CF9AE}" pid="7" name="SoHieuVanBanGoc">
    <vt:lpwstr>4207</vt:lpwstr>
  </property>
  <property fmtid="{D5CDD505-2E9C-101B-9397-08002B2CF9AE}" pid="8" name="NgayBanHanh">
    <vt:lpwstr>2013-06-17T00:00:00Z</vt:lpwstr>
  </property>
  <property fmtid="{D5CDD505-2E9C-101B-9397-08002B2CF9AE}" pid="9" name="Xem">
    <vt:lpwstr>66;#All</vt:lpwstr>
  </property>
  <property fmtid="{D5CDD505-2E9C-101B-9397-08002B2CF9AE}" pid="10" name="display_urn:schemas-microsoft-com:office:office#Xem">
    <vt:lpwstr>All</vt:lpwstr>
  </property>
  <property fmtid="{D5CDD505-2E9C-101B-9397-08002B2CF9AE}" pid="11" name="l44a95cc45dd45b6b1e58b821cda442a">
    <vt:lpwstr>NV Kế toán Giao dịch chung|2b340479-0cad-4220-8e7b-adce73db56bc</vt:lpwstr>
  </property>
  <property fmtid="{D5CDD505-2E9C-101B-9397-08002B2CF9AE}" pid="12" name="NgayHieuLuc">
    <vt:lpwstr>2013-06-20T00:00:00Z</vt:lpwstr>
  </property>
  <property fmtid="{D5CDD505-2E9C-101B-9397-08002B2CF9AE}" pid="13" name="MangNghiepVu">
    <vt:lpwstr>739;#NV Kế toán Giao dịch chung|2b340479-0cad-4220-8e7b-adce73db56bc</vt:lpwstr>
  </property>
  <property fmtid="{D5CDD505-2E9C-101B-9397-08002B2CF9AE}" pid="14" name="TaxCatchAll">
    <vt:lpwstr>739;#NV Kế toán Giao dịch chung|2b340479-0cad-4220-8e7b-adce73db56bc</vt:lpwstr>
  </property>
  <property fmtid="{D5CDD505-2E9C-101B-9397-08002B2CF9AE}" pid="15" name="Order">
    <vt:lpwstr>22500.0000000000</vt:lpwstr>
  </property>
</Properties>
</file>